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FE" w:rsidRPr="00BF1DFE" w:rsidRDefault="00BF1DFE" w:rsidP="00BF1DFE">
      <w:pPr>
        <w:pStyle w:val="Standard"/>
        <w:tabs>
          <w:tab w:val="left" w:pos="1134"/>
        </w:tabs>
        <w:spacing w:before="720" w:after="600"/>
        <w:ind w:left="720" w:hanging="720"/>
        <w:rPr>
          <w:rFonts w:asciiTheme="majorHAnsi" w:hAnsiTheme="majorHAnsi" w:cs="Arial"/>
          <w:b/>
          <w:sz w:val="56"/>
          <w:szCs w:val="56"/>
        </w:rPr>
      </w:pPr>
      <w:r w:rsidRPr="00BF1DFE">
        <w:rPr>
          <w:rFonts w:asciiTheme="majorHAnsi" w:hAnsiTheme="majorHAnsi"/>
          <w:b/>
          <w:sz w:val="56"/>
          <w:szCs w:val="56"/>
          <w:lang w:val="fr-BE"/>
        </w:rPr>
        <w:t xml:space="preserve">Éduquer à la </w:t>
      </w:r>
      <w:r>
        <w:rPr>
          <w:rFonts w:asciiTheme="majorHAnsi" w:hAnsiTheme="majorHAnsi" w:cs="Arial"/>
          <w:b/>
          <w:sz w:val="56"/>
          <w:szCs w:val="56"/>
        </w:rPr>
        <w:t>b</w:t>
      </w:r>
      <w:r w:rsidRPr="00BF1DFE">
        <w:rPr>
          <w:rFonts w:asciiTheme="majorHAnsi" w:hAnsiTheme="majorHAnsi" w:cs="Arial"/>
          <w:b/>
          <w:sz w:val="56"/>
          <w:szCs w:val="56"/>
        </w:rPr>
        <w:t>ienveillance</w:t>
      </w:r>
    </w:p>
    <w:p w:rsidR="00BF1DFE" w:rsidRPr="00AC516F" w:rsidRDefault="00BF1DFE" w:rsidP="00BF1DFE">
      <w:pPr>
        <w:tabs>
          <w:tab w:val="left" w:pos="1560"/>
        </w:tabs>
        <w:snapToGrid w:val="0"/>
        <w:rPr>
          <w:rFonts w:asciiTheme="majorHAnsi" w:hAnsiTheme="majorHAnsi" w:cs="Arial"/>
          <w:bCs/>
          <w:szCs w:val="27"/>
        </w:rPr>
      </w:pPr>
      <w:r w:rsidRPr="00AC516F">
        <w:rPr>
          <w:rFonts w:asciiTheme="majorHAnsi" w:hAnsiTheme="majorHAnsi" w:cs="Arial"/>
          <w:bCs/>
          <w:szCs w:val="27"/>
        </w:rPr>
        <w:t xml:space="preserve">Bien plus que de la </w:t>
      </w:r>
      <w:r w:rsidRPr="00AC516F">
        <w:rPr>
          <w:rFonts w:asciiTheme="majorHAnsi" w:hAnsiTheme="majorHAnsi" w:cs="Arial"/>
          <w:bCs/>
          <w:i/>
          <w:szCs w:val="27"/>
        </w:rPr>
        <w:t>‘politesse’</w:t>
      </w:r>
      <w:r w:rsidRPr="00AC516F">
        <w:rPr>
          <w:rFonts w:asciiTheme="majorHAnsi" w:hAnsiTheme="majorHAnsi" w:cs="Arial"/>
          <w:bCs/>
          <w:szCs w:val="27"/>
        </w:rPr>
        <w:t>, la bienveillance est l’expression d’un</w:t>
      </w:r>
      <w:r>
        <w:rPr>
          <w:rFonts w:asciiTheme="majorHAnsi" w:hAnsiTheme="majorHAnsi" w:cs="Arial"/>
          <w:bCs/>
          <w:szCs w:val="27"/>
        </w:rPr>
        <w:t>e attitude</w:t>
      </w:r>
      <w:r w:rsidRPr="00AC516F">
        <w:rPr>
          <w:rFonts w:asciiTheme="majorHAnsi" w:hAnsiTheme="majorHAnsi" w:cs="Arial"/>
          <w:bCs/>
          <w:szCs w:val="27"/>
        </w:rPr>
        <w:t xml:space="preserve"> sincère. Que ce soit envers soi-même ou envers les autres, la bienveillance implique une qualité de présence qui permet d’être à l’écoute, d’entendre </w:t>
      </w:r>
      <w:r>
        <w:rPr>
          <w:rFonts w:asciiTheme="majorHAnsi" w:hAnsiTheme="majorHAnsi" w:cs="Arial"/>
          <w:bCs/>
          <w:szCs w:val="27"/>
        </w:rPr>
        <w:t>un</w:t>
      </w:r>
      <w:r w:rsidRPr="00AC516F">
        <w:rPr>
          <w:rFonts w:asciiTheme="majorHAnsi" w:hAnsiTheme="majorHAnsi" w:cs="Arial"/>
          <w:bCs/>
          <w:szCs w:val="27"/>
        </w:rPr>
        <w:t xml:space="preserve"> message</w:t>
      </w:r>
      <w:r>
        <w:rPr>
          <w:rFonts w:asciiTheme="majorHAnsi" w:hAnsiTheme="majorHAnsi" w:cs="Arial"/>
          <w:bCs/>
          <w:szCs w:val="27"/>
        </w:rPr>
        <w:t xml:space="preserve"> (verbal ou comportemental)</w:t>
      </w:r>
      <w:r w:rsidRPr="00AC516F">
        <w:rPr>
          <w:rFonts w:asciiTheme="majorHAnsi" w:hAnsiTheme="majorHAnsi" w:cs="Arial"/>
          <w:bCs/>
          <w:szCs w:val="27"/>
        </w:rPr>
        <w:t>, de le reconnaître et d’y répondre comme on peut. Il implique un regard positif, une attitude d’acceptation</w:t>
      </w:r>
      <w:r>
        <w:rPr>
          <w:rFonts w:asciiTheme="majorHAnsi" w:hAnsiTheme="majorHAnsi" w:cs="Arial"/>
          <w:bCs/>
          <w:szCs w:val="27"/>
        </w:rPr>
        <w:t xml:space="preserve"> et</w:t>
      </w:r>
      <w:r w:rsidRPr="00AC516F">
        <w:rPr>
          <w:rFonts w:asciiTheme="majorHAnsi" w:hAnsiTheme="majorHAnsi" w:cs="Arial"/>
          <w:bCs/>
          <w:szCs w:val="27"/>
        </w:rPr>
        <w:t xml:space="preserve"> de respect. L</w:t>
      </w:r>
      <w:r>
        <w:rPr>
          <w:rFonts w:asciiTheme="majorHAnsi" w:hAnsiTheme="majorHAnsi" w:cs="Arial"/>
          <w:bCs/>
          <w:szCs w:val="27"/>
        </w:rPr>
        <w:t>e terme</w:t>
      </w:r>
      <w:r w:rsidRPr="00AC516F">
        <w:rPr>
          <w:rFonts w:asciiTheme="majorHAnsi" w:hAnsiTheme="majorHAnsi" w:cs="Arial"/>
          <w:bCs/>
          <w:szCs w:val="27"/>
        </w:rPr>
        <w:t xml:space="preserve"> </w:t>
      </w:r>
      <w:r>
        <w:rPr>
          <w:rFonts w:asciiTheme="majorHAnsi" w:hAnsiTheme="majorHAnsi" w:cs="Arial"/>
          <w:bCs/>
          <w:szCs w:val="27"/>
        </w:rPr>
        <w:t>« </w:t>
      </w:r>
      <w:r w:rsidRPr="001527B6">
        <w:rPr>
          <w:rFonts w:asciiTheme="majorHAnsi" w:hAnsiTheme="majorHAnsi" w:cs="Arial"/>
          <w:bCs/>
          <w:i/>
          <w:szCs w:val="27"/>
        </w:rPr>
        <w:t>bienveillance</w:t>
      </w:r>
      <w:r>
        <w:rPr>
          <w:rFonts w:asciiTheme="majorHAnsi" w:hAnsiTheme="majorHAnsi" w:cs="Arial"/>
          <w:bCs/>
          <w:szCs w:val="27"/>
        </w:rPr>
        <w:t> »</w:t>
      </w:r>
      <w:r w:rsidRPr="00AC516F">
        <w:rPr>
          <w:rFonts w:asciiTheme="majorHAnsi" w:hAnsiTheme="majorHAnsi" w:cs="Arial"/>
          <w:bCs/>
          <w:szCs w:val="27"/>
        </w:rPr>
        <w:t xml:space="preserve"> est proche, </w:t>
      </w:r>
      <w:r>
        <w:rPr>
          <w:rFonts w:asciiTheme="majorHAnsi" w:hAnsiTheme="majorHAnsi" w:cs="Arial"/>
          <w:bCs/>
          <w:szCs w:val="27"/>
        </w:rPr>
        <w:t>voire</w:t>
      </w:r>
      <w:r w:rsidRPr="00AC516F">
        <w:rPr>
          <w:rFonts w:asciiTheme="majorHAnsi" w:hAnsiTheme="majorHAnsi" w:cs="Arial"/>
          <w:bCs/>
          <w:szCs w:val="27"/>
        </w:rPr>
        <w:t xml:space="preserve"> synonyme, de</w:t>
      </w:r>
      <w:r>
        <w:rPr>
          <w:rFonts w:asciiTheme="majorHAnsi" w:hAnsiTheme="majorHAnsi" w:cs="Arial"/>
          <w:bCs/>
          <w:szCs w:val="27"/>
        </w:rPr>
        <w:t xml:space="preserve"> celui d</w:t>
      </w:r>
      <w:proofErr w:type="gramStart"/>
      <w:r>
        <w:rPr>
          <w:rFonts w:asciiTheme="majorHAnsi" w:hAnsiTheme="majorHAnsi" w:cs="Arial"/>
          <w:bCs/>
          <w:szCs w:val="27"/>
        </w:rPr>
        <w:t>’</w:t>
      </w:r>
      <w:r w:rsidRPr="00AC516F">
        <w:rPr>
          <w:rFonts w:asciiTheme="majorHAnsi" w:hAnsiTheme="majorHAnsi" w:cs="Arial"/>
          <w:bCs/>
          <w:szCs w:val="27"/>
        </w:rPr>
        <w:t>«</w:t>
      </w:r>
      <w:proofErr w:type="gramEnd"/>
      <w:r>
        <w:rPr>
          <w:rFonts w:asciiTheme="majorHAnsi" w:hAnsiTheme="majorHAnsi" w:cs="Arial"/>
          <w:bCs/>
          <w:i/>
          <w:szCs w:val="27"/>
        </w:rPr>
        <w:t> </w:t>
      </w:r>
      <w:r w:rsidRPr="00486CD4">
        <w:rPr>
          <w:rFonts w:asciiTheme="majorHAnsi" w:hAnsiTheme="majorHAnsi" w:cs="Arial"/>
          <w:bCs/>
          <w:i/>
          <w:szCs w:val="27"/>
        </w:rPr>
        <w:t>amour</w:t>
      </w:r>
      <w:r>
        <w:rPr>
          <w:rFonts w:asciiTheme="majorHAnsi" w:hAnsiTheme="majorHAnsi" w:cs="Arial"/>
          <w:bCs/>
          <w:i/>
          <w:szCs w:val="27"/>
        </w:rPr>
        <w:t> »</w:t>
      </w:r>
      <w:r w:rsidRPr="00AC516F">
        <w:rPr>
          <w:rFonts w:asciiTheme="majorHAnsi" w:hAnsiTheme="majorHAnsi" w:cs="Arial"/>
          <w:bCs/>
          <w:szCs w:val="27"/>
        </w:rPr>
        <w:t xml:space="preserve">. </w:t>
      </w:r>
      <w:r>
        <w:rPr>
          <w:rFonts w:asciiTheme="majorHAnsi" w:hAnsiTheme="majorHAnsi" w:cs="Arial"/>
          <w:bCs/>
          <w:szCs w:val="27"/>
        </w:rPr>
        <w:t>Son avantage est qu’il ne comporte pas toutes les connotations ambiguës</w:t>
      </w:r>
      <w:r w:rsidR="00ED4E2A">
        <w:rPr>
          <w:rFonts w:asciiTheme="majorHAnsi" w:hAnsiTheme="majorHAnsi" w:cs="Arial"/>
          <w:bCs/>
          <w:szCs w:val="27"/>
        </w:rPr>
        <w:t xml:space="preserve"> du</w:t>
      </w:r>
      <w:r>
        <w:rPr>
          <w:rFonts w:asciiTheme="majorHAnsi" w:hAnsiTheme="majorHAnsi" w:cs="Arial"/>
          <w:bCs/>
          <w:szCs w:val="27"/>
        </w:rPr>
        <w:t xml:space="preserve"> </w:t>
      </w:r>
      <w:r w:rsidRPr="00AC516F">
        <w:rPr>
          <w:rFonts w:asciiTheme="majorHAnsi" w:hAnsiTheme="majorHAnsi" w:cs="Arial"/>
          <w:bCs/>
          <w:szCs w:val="27"/>
        </w:rPr>
        <w:t>terme «</w:t>
      </w:r>
      <w:r w:rsidRPr="00AC516F">
        <w:rPr>
          <w:rFonts w:asciiTheme="majorHAnsi" w:hAnsiTheme="majorHAnsi" w:cs="Arial"/>
          <w:bCs/>
          <w:sz w:val="8"/>
          <w:szCs w:val="27"/>
        </w:rPr>
        <w:t> </w:t>
      </w:r>
      <w:r w:rsidRPr="00AC516F">
        <w:rPr>
          <w:rFonts w:asciiTheme="majorHAnsi" w:hAnsiTheme="majorHAnsi" w:cs="Arial"/>
          <w:bCs/>
          <w:szCs w:val="27"/>
        </w:rPr>
        <w:t>amour</w:t>
      </w:r>
      <w:r w:rsidRPr="00AC516F">
        <w:rPr>
          <w:rFonts w:asciiTheme="majorHAnsi" w:hAnsiTheme="majorHAnsi" w:cs="Arial"/>
          <w:bCs/>
          <w:sz w:val="4"/>
          <w:szCs w:val="27"/>
        </w:rPr>
        <w:t> </w:t>
      </w:r>
      <w:r w:rsidRPr="00AC516F">
        <w:rPr>
          <w:rFonts w:asciiTheme="majorHAnsi" w:hAnsiTheme="majorHAnsi" w:cs="Arial"/>
          <w:bCs/>
          <w:szCs w:val="27"/>
        </w:rPr>
        <w:t xml:space="preserve">». </w:t>
      </w:r>
    </w:p>
    <w:p w:rsidR="00BF1DFE" w:rsidRDefault="00BF1DFE" w:rsidP="00BF1DFE">
      <w:pPr>
        <w:tabs>
          <w:tab w:val="left" w:pos="1560"/>
        </w:tabs>
        <w:snapToGrid w:val="0"/>
        <w:rPr>
          <w:rFonts w:asciiTheme="majorHAnsi" w:hAnsiTheme="majorHAnsi" w:cs="Arial"/>
          <w:bCs/>
          <w:szCs w:val="27"/>
        </w:rPr>
      </w:pPr>
      <w:r>
        <w:rPr>
          <w:rFonts w:asciiTheme="majorHAnsi" w:hAnsiTheme="majorHAnsi" w:cs="Arial"/>
          <w:bCs/>
          <w:szCs w:val="27"/>
        </w:rPr>
        <w:t>T</w:t>
      </w:r>
      <w:r w:rsidRPr="00AC516F">
        <w:rPr>
          <w:rFonts w:asciiTheme="majorHAnsi" w:hAnsiTheme="majorHAnsi" w:cs="Arial"/>
          <w:bCs/>
          <w:szCs w:val="27"/>
        </w:rPr>
        <w:t xml:space="preserve">out comme l’intelligence émotionnelle, la bienveillance ne se décrète pas. </w:t>
      </w:r>
      <w:r>
        <w:rPr>
          <w:rFonts w:asciiTheme="majorHAnsi" w:hAnsiTheme="majorHAnsi" w:cs="Arial"/>
          <w:bCs/>
          <w:szCs w:val="27"/>
        </w:rPr>
        <w:t xml:space="preserve">Son apprentissage </w:t>
      </w:r>
      <w:r w:rsidRPr="00AC516F">
        <w:rPr>
          <w:rFonts w:asciiTheme="majorHAnsi" w:hAnsiTheme="majorHAnsi" w:cs="Arial"/>
          <w:bCs/>
          <w:szCs w:val="27"/>
        </w:rPr>
        <w:t xml:space="preserve">résultera d’un climat d’acceptation, d’un climat sain, serein, ludique, ouvert, coopératif. </w:t>
      </w:r>
      <w:r>
        <w:rPr>
          <w:rFonts w:asciiTheme="majorHAnsi" w:hAnsiTheme="majorHAnsi" w:cs="Arial"/>
          <w:bCs/>
          <w:szCs w:val="27"/>
        </w:rPr>
        <w:t>D</w:t>
      </w:r>
      <w:r w:rsidRPr="00AC516F">
        <w:rPr>
          <w:rFonts w:asciiTheme="majorHAnsi" w:hAnsiTheme="majorHAnsi" w:cs="Arial"/>
          <w:bCs/>
          <w:szCs w:val="27"/>
        </w:rPr>
        <w:t xml:space="preserve">ès le plus jeune âge, on pourra sensibiliser </w:t>
      </w:r>
      <w:r>
        <w:rPr>
          <w:rFonts w:asciiTheme="majorHAnsi" w:hAnsiTheme="majorHAnsi" w:cs="Arial"/>
          <w:bCs/>
          <w:szCs w:val="27"/>
        </w:rPr>
        <w:t xml:space="preserve">les enfants </w:t>
      </w:r>
      <w:r w:rsidRPr="00AC516F">
        <w:rPr>
          <w:rFonts w:asciiTheme="majorHAnsi" w:hAnsiTheme="majorHAnsi" w:cs="Arial"/>
          <w:bCs/>
          <w:szCs w:val="27"/>
        </w:rPr>
        <w:t>à tout ce qui peut être l’expression de notre bienveillance naturelle.</w:t>
      </w:r>
      <w:r>
        <w:rPr>
          <w:rFonts w:asciiTheme="majorHAnsi" w:hAnsiTheme="majorHAnsi" w:cs="Arial"/>
          <w:bCs/>
          <w:szCs w:val="27"/>
        </w:rPr>
        <w:t xml:space="preserve"> D</w:t>
      </w:r>
      <w:r w:rsidRPr="00AC516F">
        <w:rPr>
          <w:rFonts w:asciiTheme="majorHAnsi" w:hAnsiTheme="majorHAnsi" w:cs="Arial"/>
          <w:bCs/>
          <w:szCs w:val="27"/>
        </w:rPr>
        <w:t xml:space="preserve">e nombreuses activités vont faciliter cet </w:t>
      </w:r>
      <w:r w:rsidRPr="00AC516F">
        <w:rPr>
          <w:rFonts w:asciiTheme="majorHAnsi" w:hAnsiTheme="majorHAnsi" w:cs="Arial"/>
          <w:bCs/>
          <w:i/>
        </w:rPr>
        <w:t>‘éveil à la bienveillance’</w:t>
      </w:r>
      <w:r>
        <w:rPr>
          <w:rFonts w:asciiTheme="majorHAnsi" w:hAnsiTheme="majorHAnsi" w:cs="Arial"/>
          <w:bCs/>
          <w:szCs w:val="27"/>
        </w:rPr>
        <w:t>. Voir en particulier l’activité</w:t>
      </w:r>
      <w:r w:rsidRPr="00AC516F">
        <w:rPr>
          <w:rFonts w:asciiTheme="majorHAnsi" w:hAnsiTheme="majorHAnsi" w:cs="Arial"/>
          <w:bCs/>
          <w:szCs w:val="27"/>
        </w:rPr>
        <w:t xml:space="preserve"> </w:t>
      </w:r>
      <w:r w:rsidRPr="00486CD4">
        <w:rPr>
          <w:rFonts w:asciiTheme="majorHAnsi" w:hAnsiTheme="majorHAnsi" w:cs="Arial"/>
          <w:bCs/>
          <w:szCs w:val="27"/>
        </w:rPr>
        <w:t>« </w:t>
      </w:r>
      <w:r w:rsidRPr="00474880">
        <w:rPr>
          <w:rFonts w:asciiTheme="majorHAnsi" w:hAnsiTheme="majorHAnsi" w:cs="Arial"/>
          <w:bCs/>
          <w:szCs w:val="27"/>
        </w:rPr>
        <w:t>Gestes de bienveillance ».</w:t>
      </w:r>
      <w:r w:rsidRPr="00AC516F">
        <w:rPr>
          <w:rFonts w:asciiTheme="majorHAnsi" w:hAnsiTheme="majorHAnsi" w:cs="Arial"/>
          <w:bCs/>
          <w:i/>
          <w:szCs w:val="27"/>
        </w:rPr>
        <w:t xml:space="preserve"> </w:t>
      </w:r>
      <w:r>
        <w:rPr>
          <w:rFonts w:asciiTheme="majorHAnsi" w:hAnsiTheme="majorHAnsi" w:cs="Arial"/>
          <w:bCs/>
          <w:szCs w:val="27"/>
        </w:rPr>
        <w:t>On invitera les enfants à observer et à rapporter ces gestes. On les invitera à « partager » autant qu’à respecter ce qui appartient aux autres. On leur proposera des jeux où ils doivent « prendre soin » les uns des autres (Handicapés solidaires, L’aveugle et son guide…). Et bien entendu on favorisera</w:t>
      </w:r>
      <w:r w:rsidR="00ED4E2A">
        <w:rPr>
          <w:rFonts w:asciiTheme="majorHAnsi" w:hAnsiTheme="majorHAnsi" w:cs="Arial"/>
          <w:bCs/>
          <w:szCs w:val="27"/>
        </w:rPr>
        <w:t xml:space="preserve"> l’acceptation des différences,</w:t>
      </w:r>
      <w:r>
        <w:rPr>
          <w:rFonts w:asciiTheme="majorHAnsi" w:hAnsiTheme="majorHAnsi" w:cs="Arial"/>
          <w:bCs/>
          <w:szCs w:val="27"/>
        </w:rPr>
        <w:t xml:space="preserve"> la coopération plutôt que la compétition, l’écoute et la résolution positive des conflits.</w:t>
      </w:r>
    </w:p>
    <w:p w:rsidR="00BF1DFE" w:rsidRPr="00D64A57" w:rsidRDefault="00BF1DFE" w:rsidP="00BF1DFE">
      <w:pPr>
        <w:tabs>
          <w:tab w:val="left" w:pos="1560"/>
        </w:tabs>
        <w:snapToGrid w:val="0"/>
        <w:rPr>
          <w:rFonts w:asciiTheme="majorHAnsi" w:hAnsiTheme="majorHAnsi" w:cs="Arial"/>
          <w:bCs/>
          <w:szCs w:val="27"/>
        </w:rPr>
      </w:pPr>
      <w:r>
        <w:rPr>
          <w:rFonts w:asciiTheme="majorHAnsi" w:hAnsiTheme="majorHAnsi" w:cs="Arial"/>
          <w:bCs/>
          <w:szCs w:val="27"/>
        </w:rPr>
        <w:t xml:space="preserve">Il est essentiel, dans cet apprentissage, de veiller à ce que l’environnement général des enfants soit positif, valorisant, ludique, léger, empreint d’acceptation et de bienveillance également. On ne peut espérer favoriser des gestes de bienveillance dans un climat tendu, conflictuel, autoritaire, frustrant. La bienveillance ne peut s’exprimer que dans des conditions de bien-être. Elle sera le reflet de l’ancrage des enfants dans leurs ressources personnelles de confiance en eux et en la vie. </w:t>
      </w:r>
    </w:p>
    <w:p w:rsidR="00BF1DFE" w:rsidRPr="00AC516F" w:rsidRDefault="00BF1DFE" w:rsidP="00BF1DFE">
      <w:pPr>
        <w:pStyle w:val="Standard"/>
        <w:tabs>
          <w:tab w:val="left" w:pos="1134"/>
        </w:tabs>
        <w:spacing w:before="120" w:after="120"/>
        <w:rPr>
          <w:rFonts w:asciiTheme="majorHAnsi" w:hAnsiTheme="majorHAnsi" w:cs="Arial"/>
          <w:sz w:val="18"/>
          <w:szCs w:val="28"/>
        </w:rPr>
      </w:pPr>
    </w:p>
    <w:p w:rsidR="00BF1DFE" w:rsidRPr="00D64A57" w:rsidRDefault="00BF1DFE" w:rsidP="00BF1DFE">
      <w:pPr>
        <w:spacing w:before="240" w:after="240"/>
        <w:rPr>
          <w:rFonts w:asciiTheme="majorHAnsi" w:hAnsiTheme="majorHAnsi"/>
          <w:b/>
          <w:sz w:val="48"/>
          <w:szCs w:val="36"/>
        </w:rPr>
      </w:pPr>
      <w:r w:rsidRPr="00D64A57">
        <w:rPr>
          <w:rFonts w:asciiTheme="majorHAnsi" w:hAnsiTheme="majorHAnsi"/>
          <w:b/>
          <w:sz w:val="48"/>
          <w:szCs w:val="36"/>
        </w:rPr>
        <w:t>L’appréciation mutuelle</w:t>
      </w:r>
    </w:p>
    <w:p w:rsidR="00BF1DFE" w:rsidRPr="00486CD4" w:rsidRDefault="00BF1DFE" w:rsidP="00BF1DFE">
      <w:pPr>
        <w:rPr>
          <w:rFonts w:asciiTheme="majorHAnsi" w:hAnsiTheme="majorHAnsi"/>
          <w:b/>
          <w:sz w:val="14"/>
          <w:szCs w:val="22"/>
        </w:rPr>
      </w:pPr>
    </w:p>
    <w:p w:rsidR="00BF1DFE" w:rsidRPr="000B3D79" w:rsidRDefault="00BF1DFE" w:rsidP="00BF1DFE">
      <w:pPr>
        <w:rPr>
          <w:rFonts w:asciiTheme="majorHAnsi" w:hAnsiTheme="majorHAnsi"/>
          <w:szCs w:val="22"/>
        </w:rPr>
      </w:pPr>
      <w:r w:rsidRPr="000B3D79">
        <w:rPr>
          <w:rFonts w:asciiTheme="majorHAnsi" w:hAnsiTheme="majorHAnsi"/>
          <w:szCs w:val="22"/>
        </w:rPr>
        <w:t>Pour l’éducateur, l’appréciation de l’enfant doit être un souci constant. L’appréciation est une</w:t>
      </w:r>
      <w:r w:rsidR="00445E90">
        <w:rPr>
          <w:rFonts w:asciiTheme="majorHAnsi" w:hAnsiTheme="majorHAnsi"/>
          <w:szCs w:val="22"/>
        </w:rPr>
        <w:t xml:space="preserve"> « validation »</w:t>
      </w:r>
      <w:r w:rsidRPr="000B3D79">
        <w:rPr>
          <w:rFonts w:asciiTheme="majorHAnsi" w:hAnsiTheme="majorHAnsi"/>
          <w:szCs w:val="22"/>
        </w:rPr>
        <w:t xml:space="preserve"> de l’être. Elle peut être l’expression positive et sincère d’une observation particulière, d’un remerciement, d’une émotion.</w:t>
      </w:r>
      <w:r>
        <w:rPr>
          <w:rFonts w:asciiTheme="majorHAnsi" w:hAnsiTheme="majorHAnsi"/>
          <w:szCs w:val="22"/>
        </w:rPr>
        <w:t xml:space="preserve"> Dans l’objectif d’un éveil à la bienveillance, l’invitation à pratiquer l’appréciation au sein du groupe des enfants se révélera également fort utile. </w:t>
      </w:r>
      <w:r w:rsidRPr="000B3D79">
        <w:rPr>
          <w:rFonts w:asciiTheme="majorHAnsi" w:hAnsiTheme="majorHAnsi"/>
          <w:szCs w:val="22"/>
        </w:rPr>
        <w:t>L’effet sur la dynamique de groupe est souvent spectaculaire</w:t>
      </w:r>
      <w:r>
        <w:rPr>
          <w:rFonts w:asciiTheme="majorHAnsi" w:hAnsiTheme="majorHAnsi"/>
          <w:szCs w:val="22"/>
        </w:rPr>
        <w:t>, même dans ses premiers apprentissages</w:t>
      </w:r>
      <w:r w:rsidRPr="000B3D79">
        <w:rPr>
          <w:rFonts w:asciiTheme="majorHAnsi" w:hAnsiTheme="majorHAnsi"/>
          <w:szCs w:val="22"/>
        </w:rPr>
        <w:t>. C’est un exercice à utiliser régulièrement. On peut explorer les multiples façons ludiques d’exprimer de l’appréciation les uns envers les autres.</w:t>
      </w:r>
    </w:p>
    <w:p w:rsidR="00BF1DFE" w:rsidRPr="00D64A57" w:rsidRDefault="00BF1DFE" w:rsidP="00BF1DFE">
      <w:pPr>
        <w:spacing w:before="480"/>
        <w:rPr>
          <w:rFonts w:asciiTheme="majorHAnsi" w:hAnsiTheme="majorHAnsi" w:cstheme="majorHAnsi"/>
          <w:b/>
          <w:sz w:val="48"/>
        </w:rPr>
      </w:pPr>
      <w:r w:rsidRPr="00D64A57">
        <w:rPr>
          <w:rFonts w:asciiTheme="majorHAnsi" w:hAnsiTheme="majorHAnsi" w:cstheme="majorHAnsi"/>
          <w:b/>
          <w:sz w:val="48"/>
        </w:rPr>
        <w:t>Conscientiser et combattre la violence</w:t>
      </w:r>
    </w:p>
    <w:p w:rsidR="00BF1DFE" w:rsidRPr="00610412" w:rsidRDefault="00BF1DFE" w:rsidP="00BF1DFE">
      <w:pPr>
        <w:tabs>
          <w:tab w:val="left" w:pos="1560"/>
        </w:tabs>
        <w:snapToGrid w:val="0"/>
        <w:spacing w:after="0"/>
        <w:rPr>
          <w:rFonts w:asciiTheme="majorHAnsi" w:hAnsiTheme="majorHAnsi" w:cstheme="majorHAnsi"/>
          <w:strike/>
          <w:sz w:val="32"/>
        </w:rPr>
      </w:pPr>
    </w:p>
    <w:p w:rsidR="00BF1DFE" w:rsidRDefault="00BF1DFE" w:rsidP="00BF1DFE">
      <w:pPr>
        <w:tabs>
          <w:tab w:val="left" w:pos="1560"/>
        </w:tabs>
        <w:snapToGrid w:val="0"/>
        <w:rPr>
          <w:rFonts w:asciiTheme="majorHAnsi" w:hAnsiTheme="majorHAnsi" w:cs="Arial"/>
          <w:bCs/>
          <w:szCs w:val="27"/>
        </w:rPr>
      </w:pPr>
      <w:r w:rsidRPr="00AC516F">
        <w:rPr>
          <w:rFonts w:asciiTheme="majorHAnsi" w:hAnsiTheme="majorHAnsi" w:cs="Arial"/>
          <w:bCs/>
          <w:szCs w:val="27"/>
        </w:rPr>
        <w:t xml:space="preserve">En abordant </w:t>
      </w:r>
      <w:r>
        <w:rPr>
          <w:rFonts w:asciiTheme="majorHAnsi" w:hAnsiTheme="majorHAnsi" w:cs="Arial"/>
          <w:bCs/>
          <w:szCs w:val="27"/>
        </w:rPr>
        <w:t>l</w:t>
      </w:r>
      <w:r w:rsidRPr="00AC516F">
        <w:rPr>
          <w:rFonts w:asciiTheme="majorHAnsi" w:hAnsiTheme="majorHAnsi" w:cs="Arial"/>
          <w:bCs/>
          <w:szCs w:val="27"/>
        </w:rPr>
        <w:t>e thème</w:t>
      </w:r>
      <w:r>
        <w:rPr>
          <w:rFonts w:asciiTheme="majorHAnsi" w:hAnsiTheme="majorHAnsi" w:cs="Arial"/>
          <w:bCs/>
          <w:szCs w:val="27"/>
        </w:rPr>
        <w:t xml:space="preserve"> de la bienveillance et de l’empathie</w:t>
      </w:r>
      <w:r w:rsidRPr="00AC516F">
        <w:rPr>
          <w:rFonts w:asciiTheme="majorHAnsi" w:hAnsiTheme="majorHAnsi" w:cs="Arial"/>
          <w:bCs/>
          <w:szCs w:val="27"/>
        </w:rPr>
        <w:t xml:space="preserve">, il faudra aussi aborder celui de la </w:t>
      </w:r>
      <w:r w:rsidRPr="00AC516F">
        <w:rPr>
          <w:rFonts w:asciiTheme="majorHAnsi" w:hAnsiTheme="majorHAnsi" w:cs="Arial"/>
          <w:b/>
          <w:bCs/>
          <w:szCs w:val="27"/>
        </w:rPr>
        <w:t>violence</w:t>
      </w:r>
      <w:r w:rsidRPr="00AC516F">
        <w:rPr>
          <w:rFonts w:asciiTheme="majorHAnsi" w:hAnsiTheme="majorHAnsi" w:cs="Arial"/>
          <w:bCs/>
          <w:szCs w:val="27"/>
        </w:rPr>
        <w:t>. En fonction de l’âge du groupe auquel on s’adresse, il sera utile d’explorer ce qui est perçu comme violent, dans toutes sortes de domaines. On pourra inviter à identifier les éventuels mobiles que cache la violence, les besoins sous-jacents, et quels choix de comportements préférables pourraient être faits pour rencontrer ces besoins</w:t>
      </w:r>
      <w:r>
        <w:rPr>
          <w:rFonts w:asciiTheme="majorHAnsi" w:hAnsiTheme="majorHAnsi" w:cs="Arial"/>
          <w:bCs/>
          <w:szCs w:val="27"/>
        </w:rPr>
        <w:t xml:space="preserve"> (voir « Qu’est-ce que la violence ? »)</w:t>
      </w:r>
      <w:r w:rsidRPr="00AC516F">
        <w:rPr>
          <w:rFonts w:asciiTheme="majorHAnsi" w:hAnsiTheme="majorHAnsi" w:cs="Arial"/>
          <w:bCs/>
          <w:szCs w:val="27"/>
        </w:rPr>
        <w:t>.</w:t>
      </w:r>
      <w:r>
        <w:rPr>
          <w:rFonts w:asciiTheme="majorHAnsi" w:hAnsiTheme="majorHAnsi" w:cs="Arial"/>
          <w:bCs/>
          <w:szCs w:val="27"/>
        </w:rPr>
        <w:t xml:space="preserve"> </w:t>
      </w:r>
    </w:p>
    <w:p w:rsidR="00445E90" w:rsidRPr="00AC516F" w:rsidRDefault="00445E90" w:rsidP="00BF1DFE">
      <w:pPr>
        <w:tabs>
          <w:tab w:val="left" w:pos="1560"/>
        </w:tabs>
        <w:snapToGrid w:val="0"/>
        <w:rPr>
          <w:rFonts w:asciiTheme="majorHAnsi" w:hAnsiTheme="majorHAnsi" w:cs="Arial"/>
          <w:bCs/>
          <w:szCs w:val="27"/>
        </w:rPr>
      </w:pPr>
    </w:p>
    <w:p w:rsidR="00445E90" w:rsidRPr="00C87BFE" w:rsidRDefault="00445E90" w:rsidP="00445E90">
      <w:pPr>
        <w:rPr>
          <w:rFonts w:ascii="Arial" w:hAnsi="Arial" w:cs="Arial"/>
        </w:rPr>
      </w:pPr>
      <w:r w:rsidRPr="00C87BFE">
        <w:rPr>
          <w:rFonts w:ascii="Arial" w:hAnsi="Arial" w:cs="Arial"/>
        </w:rPr>
        <w:t xml:space="preserve">(Michel Claeys, extrait de « Enseignants PCS », livret </w:t>
      </w:r>
      <w:r>
        <w:rPr>
          <w:rFonts w:ascii="Arial" w:hAnsi="Arial" w:cs="Arial"/>
        </w:rPr>
        <w:t>8</w:t>
      </w:r>
      <w:bookmarkStart w:id="0" w:name="_GoBack"/>
      <w:bookmarkEnd w:id="0"/>
      <w:r w:rsidRPr="00C87BFE">
        <w:rPr>
          <w:rFonts w:ascii="Arial" w:hAnsi="Arial" w:cs="Arial"/>
        </w:rPr>
        <w:t>, introduction)</w:t>
      </w:r>
    </w:p>
    <w:p w:rsidR="003474BB" w:rsidRPr="00BF1DFE" w:rsidRDefault="003474BB">
      <w:pPr>
        <w:rPr>
          <w:rFonts w:asciiTheme="majorHAnsi" w:hAnsiTheme="majorHAnsi"/>
          <w:b/>
          <w:sz w:val="56"/>
          <w:szCs w:val="52"/>
        </w:rPr>
      </w:pPr>
    </w:p>
    <w:sectPr w:rsidR="003474BB" w:rsidRPr="00BF1DFE"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FE"/>
    <w:rsid w:val="00072AEF"/>
    <w:rsid w:val="0029270A"/>
    <w:rsid w:val="003474BB"/>
    <w:rsid w:val="00445E90"/>
    <w:rsid w:val="008813D2"/>
    <w:rsid w:val="00A31DB0"/>
    <w:rsid w:val="00BF1DFE"/>
    <w:rsid w:val="00DF581C"/>
    <w:rsid w:val="00E74BCA"/>
    <w:rsid w:val="00ED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9FD2"/>
  <w15:chartTrackingRefBased/>
  <w15:docId w15:val="{DF5CF604-7F0B-4EAB-B37E-0E6A8EC1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customStyle="1" w:styleId="Standard">
    <w:name w:val="Standard"/>
    <w:qFormat/>
    <w:rsid w:val="00BF1DFE"/>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F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4</cp:revision>
  <dcterms:created xsi:type="dcterms:W3CDTF">2020-10-15T08:50:00Z</dcterms:created>
  <dcterms:modified xsi:type="dcterms:W3CDTF">2020-10-15T08:55:00Z</dcterms:modified>
</cp:coreProperties>
</file>