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80" w:rsidRPr="002B0366" w:rsidRDefault="00E81080" w:rsidP="00E81080">
      <w:pPr>
        <w:tabs>
          <w:tab w:val="left" w:pos="1560"/>
        </w:tabs>
        <w:snapToGrid w:val="0"/>
        <w:spacing w:before="600" w:after="240"/>
        <w:ind w:left="709" w:hanging="709"/>
        <w:rPr>
          <w:rFonts w:ascii="Arial" w:hAnsi="Arial" w:cs="Arial"/>
          <w:b/>
          <w:bCs/>
          <w:sz w:val="52"/>
          <w:szCs w:val="27"/>
        </w:rPr>
      </w:pPr>
      <w:bookmarkStart w:id="0" w:name="_GoBack"/>
      <w:r w:rsidRPr="002B0366">
        <w:rPr>
          <w:rFonts w:ascii="Arial" w:hAnsi="Arial" w:cs="Arial"/>
          <w:b/>
          <w:bCs/>
          <w:sz w:val="40"/>
          <w:szCs w:val="27"/>
        </w:rPr>
        <w:t xml:space="preserve">Les outils de l’EES  </w:t>
      </w:r>
      <w:r w:rsidRPr="002B0366">
        <w:rPr>
          <w:rFonts w:ascii="Arial" w:hAnsi="Arial" w:cs="Arial"/>
          <w:b/>
          <w:bCs/>
          <w:sz w:val="44"/>
          <w:szCs w:val="27"/>
        </w:rPr>
        <w:tab/>
      </w:r>
      <w:r w:rsidRPr="002B0366">
        <w:rPr>
          <w:rFonts w:ascii="Arial" w:hAnsi="Arial" w:cs="Arial"/>
          <w:b/>
          <w:bCs/>
          <w:sz w:val="52"/>
          <w:szCs w:val="27"/>
        </w:rPr>
        <w:tab/>
      </w:r>
    </w:p>
    <w:bookmarkEnd w:id="0"/>
    <w:p w:rsidR="00E81080" w:rsidRPr="007D0C5D" w:rsidRDefault="00E81080" w:rsidP="00E81080">
      <w:pPr>
        <w:tabs>
          <w:tab w:val="left" w:pos="1560"/>
        </w:tabs>
        <w:snapToGrid w:val="0"/>
        <w:ind w:left="709" w:hanging="709"/>
        <w:rPr>
          <w:rFonts w:ascii="Arial" w:hAnsi="Arial" w:cs="Arial"/>
          <w:bCs/>
          <w:sz w:val="22"/>
          <w:szCs w:val="27"/>
        </w:rPr>
      </w:pPr>
    </w:p>
    <w:p w:rsidR="00E81080" w:rsidRPr="007D0C5D" w:rsidRDefault="00E81080" w:rsidP="00E81080">
      <w:pPr>
        <w:tabs>
          <w:tab w:val="left" w:pos="1560"/>
        </w:tabs>
        <w:snapToGrid w:val="0"/>
        <w:rPr>
          <w:rFonts w:ascii="Arial" w:hAnsi="Arial" w:cs="Arial"/>
          <w:bCs/>
          <w:szCs w:val="27"/>
        </w:rPr>
      </w:pPr>
      <w:r w:rsidRPr="007D0C5D">
        <w:rPr>
          <w:rFonts w:ascii="Arial" w:hAnsi="Arial" w:cs="Arial"/>
          <w:bCs/>
          <w:szCs w:val="27"/>
        </w:rPr>
        <w:t xml:space="preserve">Ce qu’on appelle les ‘‘outils’’ regroupe l’ensemble des activités qui sont utiles dans la mise en place de l’approche pédagogique souhaitée. On quitte le domaine des concepts pour entrer dans celui de l’animation. </w:t>
      </w:r>
    </w:p>
    <w:p w:rsidR="00E81080" w:rsidRPr="007D0C5D" w:rsidRDefault="00E81080" w:rsidP="00E81080">
      <w:pPr>
        <w:rPr>
          <w:rFonts w:ascii="Arial" w:hAnsi="Arial" w:cs="Arial"/>
          <w:sz w:val="22"/>
        </w:rPr>
      </w:pPr>
      <w:r w:rsidRPr="007D0C5D">
        <w:rPr>
          <w:rFonts w:ascii="Arial" w:hAnsi="Arial" w:cs="Arial"/>
          <w:bCs/>
          <w:szCs w:val="27"/>
        </w:rPr>
        <w:t>Ces outils pratiques regroupent idéalement 5 composantes complémentaires</w:t>
      </w:r>
    </w:p>
    <w:p w:rsidR="00E81080" w:rsidRPr="007D0C5D" w:rsidRDefault="00E81080" w:rsidP="00E81080">
      <w:pPr>
        <w:snapToGrid w:val="0"/>
        <w:ind w:left="993" w:hanging="284"/>
        <w:rPr>
          <w:rFonts w:ascii="Arial" w:hAnsi="Arial" w:cs="Arial"/>
          <w:bCs/>
          <w:szCs w:val="27"/>
        </w:rPr>
      </w:pPr>
      <w:r w:rsidRPr="007D0C5D">
        <w:rPr>
          <w:rFonts w:ascii="Arial" w:hAnsi="Arial" w:cs="Arial"/>
          <w:bCs/>
          <w:szCs w:val="27"/>
        </w:rPr>
        <w:t xml:space="preserve">1- les </w:t>
      </w:r>
      <w:r w:rsidRPr="00E55CA9">
        <w:rPr>
          <w:rFonts w:ascii="Arial" w:hAnsi="Arial" w:cs="Arial"/>
          <w:b/>
          <w:bCs/>
          <w:szCs w:val="27"/>
          <w:u w:val="single"/>
        </w:rPr>
        <w:t xml:space="preserve">jeux et activités </w:t>
      </w:r>
      <w:r w:rsidRPr="007D0C5D">
        <w:rPr>
          <w:rFonts w:ascii="Arial" w:hAnsi="Arial" w:cs="Arial"/>
          <w:bCs/>
          <w:szCs w:val="27"/>
        </w:rPr>
        <w:t>: des centaines d’activités, en groupe, en sous-groupes ou en individuel, couvrant les divers thèmes (voir les instructions détaillées dans les autres livrets de cette collection) ;</w:t>
      </w:r>
    </w:p>
    <w:p w:rsidR="00E81080" w:rsidRPr="007D0C5D" w:rsidRDefault="00E81080" w:rsidP="00E81080">
      <w:pPr>
        <w:tabs>
          <w:tab w:val="left" w:pos="1560"/>
        </w:tabs>
        <w:snapToGrid w:val="0"/>
        <w:ind w:left="993" w:hanging="284"/>
        <w:rPr>
          <w:rFonts w:ascii="Arial" w:hAnsi="Arial" w:cs="Arial"/>
          <w:bCs/>
          <w:szCs w:val="27"/>
        </w:rPr>
      </w:pPr>
      <w:r w:rsidRPr="007D0C5D">
        <w:rPr>
          <w:rFonts w:ascii="Arial" w:hAnsi="Arial" w:cs="Arial"/>
          <w:bCs/>
          <w:szCs w:val="27"/>
        </w:rPr>
        <w:t xml:space="preserve">2- le </w:t>
      </w:r>
      <w:r w:rsidRPr="00E55CA9">
        <w:rPr>
          <w:rFonts w:ascii="Arial" w:hAnsi="Arial" w:cs="Arial"/>
          <w:b/>
          <w:bCs/>
          <w:szCs w:val="27"/>
          <w:u w:val="single"/>
        </w:rPr>
        <w:t xml:space="preserve">Conseil de coopération </w:t>
      </w:r>
      <w:r w:rsidRPr="007D0C5D">
        <w:rPr>
          <w:rFonts w:ascii="Arial" w:hAnsi="Arial" w:cs="Arial"/>
          <w:bCs/>
          <w:szCs w:val="27"/>
        </w:rPr>
        <w:t>(Conseil des élèves, de classe), incluant tout ce qu’une classe coopérative nécessite en termes de clarification des règles de comportement et de contrat de groupe ;</w:t>
      </w:r>
    </w:p>
    <w:p w:rsidR="00E81080" w:rsidRPr="007D0C5D" w:rsidRDefault="00E81080" w:rsidP="00E81080">
      <w:pPr>
        <w:tabs>
          <w:tab w:val="left" w:pos="1560"/>
        </w:tabs>
        <w:snapToGrid w:val="0"/>
        <w:ind w:left="993" w:hanging="284"/>
        <w:rPr>
          <w:rFonts w:ascii="Arial" w:hAnsi="Arial" w:cs="Arial"/>
          <w:bCs/>
          <w:szCs w:val="27"/>
        </w:rPr>
      </w:pPr>
      <w:r w:rsidRPr="007D0C5D">
        <w:rPr>
          <w:rFonts w:ascii="Arial" w:hAnsi="Arial" w:cs="Arial"/>
          <w:bCs/>
          <w:szCs w:val="27"/>
        </w:rPr>
        <w:t xml:space="preserve">3- les </w:t>
      </w:r>
      <w:r w:rsidRPr="00E55CA9">
        <w:rPr>
          <w:rFonts w:ascii="Arial" w:hAnsi="Arial" w:cs="Arial"/>
          <w:b/>
          <w:bCs/>
          <w:szCs w:val="27"/>
          <w:u w:val="single"/>
        </w:rPr>
        <w:t xml:space="preserve">ceintures de comportement </w:t>
      </w:r>
      <w:r w:rsidRPr="007D0C5D">
        <w:rPr>
          <w:rFonts w:ascii="Arial" w:hAnsi="Arial" w:cs="Arial"/>
          <w:bCs/>
          <w:szCs w:val="27"/>
        </w:rPr>
        <w:t xml:space="preserve">(ou ‘pétales de comportement’), </w:t>
      </w:r>
      <w:r w:rsidRPr="007D0C5D">
        <w:rPr>
          <w:rFonts w:ascii="Arial" w:hAnsi="Arial" w:cs="Arial"/>
        </w:rPr>
        <w:t>permettant de marquer une progression dans l’acquisition des compétences</w:t>
      </w:r>
      <w:r w:rsidRPr="007D0C5D">
        <w:rPr>
          <w:rFonts w:ascii="Arial" w:hAnsi="Arial" w:cs="Arial"/>
          <w:bCs/>
          <w:szCs w:val="27"/>
        </w:rPr>
        <w:t> ;</w:t>
      </w:r>
    </w:p>
    <w:p w:rsidR="00E81080" w:rsidRPr="007D0C5D" w:rsidRDefault="00E81080" w:rsidP="00E81080">
      <w:pPr>
        <w:tabs>
          <w:tab w:val="left" w:pos="1560"/>
        </w:tabs>
        <w:snapToGrid w:val="0"/>
        <w:ind w:left="993" w:hanging="284"/>
        <w:rPr>
          <w:rFonts w:ascii="Arial" w:hAnsi="Arial" w:cs="Arial"/>
          <w:bCs/>
          <w:szCs w:val="27"/>
        </w:rPr>
      </w:pPr>
      <w:r w:rsidRPr="007D0C5D">
        <w:rPr>
          <w:rFonts w:ascii="Arial" w:hAnsi="Arial" w:cs="Arial"/>
          <w:bCs/>
          <w:szCs w:val="27"/>
        </w:rPr>
        <w:t xml:space="preserve">4- les </w:t>
      </w:r>
      <w:r w:rsidRPr="00E55CA9">
        <w:rPr>
          <w:rFonts w:ascii="Arial" w:hAnsi="Arial" w:cs="Arial"/>
          <w:b/>
          <w:bCs/>
          <w:szCs w:val="27"/>
          <w:u w:val="single"/>
        </w:rPr>
        <w:t>métiers</w:t>
      </w:r>
      <w:r w:rsidRPr="007D0C5D">
        <w:rPr>
          <w:rFonts w:ascii="Arial" w:hAnsi="Arial" w:cs="Arial"/>
          <w:bCs/>
          <w:szCs w:val="27"/>
        </w:rPr>
        <w:t xml:space="preserve">, </w:t>
      </w:r>
      <w:r w:rsidRPr="007D0C5D">
        <w:rPr>
          <w:rFonts w:ascii="Arial" w:hAnsi="Arial" w:cs="Arial"/>
        </w:rPr>
        <w:t>tâches pratiques attribuées aux élèves, destinées à stimuler leur sens d’autonomie et de responsabilité</w:t>
      </w:r>
      <w:r w:rsidRPr="007D0C5D">
        <w:rPr>
          <w:rFonts w:ascii="Arial" w:hAnsi="Arial" w:cs="Arial"/>
          <w:bCs/>
          <w:szCs w:val="27"/>
        </w:rPr>
        <w:t> ;</w:t>
      </w:r>
    </w:p>
    <w:p w:rsidR="00E81080" w:rsidRPr="007D0C5D" w:rsidRDefault="00E81080" w:rsidP="00E81080">
      <w:pPr>
        <w:tabs>
          <w:tab w:val="left" w:pos="1560"/>
        </w:tabs>
        <w:snapToGrid w:val="0"/>
        <w:spacing w:after="240"/>
        <w:ind w:left="993" w:hanging="284"/>
        <w:rPr>
          <w:rFonts w:ascii="Arial" w:hAnsi="Arial" w:cs="Arial"/>
          <w:bCs/>
          <w:szCs w:val="27"/>
        </w:rPr>
      </w:pPr>
      <w:r w:rsidRPr="007D0C5D">
        <w:rPr>
          <w:rFonts w:ascii="Arial" w:hAnsi="Arial" w:cs="Arial"/>
          <w:bCs/>
          <w:szCs w:val="27"/>
        </w:rPr>
        <w:t xml:space="preserve">5- le </w:t>
      </w:r>
      <w:r w:rsidRPr="00E55CA9">
        <w:rPr>
          <w:rFonts w:ascii="Arial" w:hAnsi="Arial" w:cs="Arial"/>
          <w:b/>
          <w:bCs/>
          <w:szCs w:val="27"/>
          <w:u w:val="single"/>
        </w:rPr>
        <w:t>tutorat </w:t>
      </w:r>
      <w:r w:rsidRPr="007D0C5D">
        <w:rPr>
          <w:rFonts w:ascii="Arial" w:hAnsi="Arial" w:cs="Arial"/>
        </w:rPr>
        <w:t>: les enfants apprennent à s’enseigner mutuellement leurs acquis</w:t>
      </w:r>
      <w:r w:rsidRPr="007D0C5D">
        <w:rPr>
          <w:rFonts w:ascii="Arial" w:hAnsi="Arial" w:cs="Arial"/>
          <w:bCs/>
          <w:szCs w:val="27"/>
        </w:rPr>
        <w:t>.</w:t>
      </w:r>
    </w:p>
    <w:p w:rsidR="00E81080" w:rsidRPr="007D0C5D" w:rsidRDefault="00E81080" w:rsidP="00E81080">
      <w:pPr>
        <w:tabs>
          <w:tab w:val="left" w:pos="1560"/>
        </w:tabs>
        <w:snapToGrid w:val="0"/>
        <w:rPr>
          <w:rFonts w:ascii="Arial" w:hAnsi="Arial" w:cs="Arial"/>
          <w:bCs/>
          <w:szCs w:val="27"/>
        </w:rPr>
      </w:pPr>
      <w:r w:rsidRPr="007D0C5D">
        <w:rPr>
          <w:rFonts w:ascii="Arial" w:hAnsi="Arial" w:cs="Arial"/>
          <w:bCs/>
          <w:szCs w:val="27"/>
        </w:rPr>
        <w:t>Une sixième composante peut y être rajoutée, qui ne fait plus vraiment partie de l’EES, à strictement parler. Ce sont les projets coopératifs, les travaux en équipe ou projets de groupe. Ils entrent dans les stratégies d’application de la classe coopérative.</w:t>
      </w:r>
    </w:p>
    <w:p w:rsidR="00E81080" w:rsidRPr="007D0C5D" w:rsidRDefault="00E81080" w:rsidP="00E81080">
      <w:pPr>
        <w:tabs>
          <w:tab w:val="left" w:pos="1560"/>
        </w:tabs>
        <w:snapToGrid w:val="0"/>
        <w:spacing w:before="240"/>
        <w:rPr>
          <w:rFonts w:ascii="Arial" w:hAnsi="Arial" w:cs="Arial"/>
          <w:bCs/>
          <w:szCs w:val="27"/>
        </w:rPr>
      </w:pPr>
      <w:r w:rsidRPr="007D0C5D">
        <w:rPr>
          <w:rFonts w:ascii="Arial" w:hAnsi="Arial" w:cs="Arial"/>
          <w:bCs/>
          <w:szCs w:val="27"/>
        </w:rPr>
        <w:t xml:space="preserve">Lorsqu’on parle de ‘‘jeux’’, il ne s’agit pas uniquement de s’amuser. Les jeux proposés sont des activités certes ludiques, mais qui créent des conditions permettant de faire toutes sortes d’apprentissages. De plus, ils permettent d’instaurer un climat positif et de rehausser sensiblement la motivation et la qualité de participation des élèves, autant d’ailleurs que celle des enseignants. </w:t>
      </w:r>
    </w:p>
    <w:p w:rsidR="00E81080" w:rsidRPr="007D0C5D" w:rsidRDefault="00E81080" w:rsidP="00E81080">
      <w:pPr>
        <w:tabs>
          <w:tab w:val="left" w:pos="1560"/>
        </w:tabs>
        <w:snapToGrid w:val="0"/>
        <w:rPr>
          <w:rFonts w:ascii="Arial" w:hAnsi="Arial" w:cs="Arial"/>
          <w:bCs/>
          <w:szCs w:val="27"/>
        </w:rPr>
      </w:pPr>
      <w:r w:rsidRPr="007D0C5D">
        <w:rPr>
          <w:rFonts w:ascii="Arial" w:hAnsi="Arial" w:cs="Arial"/>
          <w:bCs/>
          <w:szCs w:val="27"/>
        </w:rPr>
        <w:t xml:space="preserve">Parmi les outils de l’éducation émotionnelle et sociale, on retrouve une grande variété de jeux et d’activités pédagogiques. </w:t>
      </w:r>
    </w:p>
    <w:p w:rsidR="00E81080" w:rsidRPr="007D0C5D" w:rsidRDefault="00E81080" w:rsidP="00E81080">
      <w:pPr>
        <w:ind w:left="426" w:hanging="426"/>
        <w:rPr>
          <w:rFonts w:ascii="Arial" w:hAnsi="Arial" w:cs="Arial"/>
        </w:rPr>
      </w:pPr>
      <w:r w:rsidRPr="007D0C5D">
        <w:rPr>
          <w:rFonts w:ascii="Arial" w:hAnsi="Arial" w:cs="Arial"/>
        </w:rPr>
        <w:t xml:space="preserve">1 – Les </w:t>
      </w:r>
      <w:r w:rsidRPr="00E55CA9">
        <w:rPr>
          <w:rFonts w:ascii="Arial" w:hAnsi="Arial" w:cs="Arial"/>
          <w:b/>
        </w:rPr>
        <w:t>jeux</w:t>
      </w:r>
      <w:r w:rsidRPr="007D0C5D">
        <w:rPr>
          <w:rFonts w:ascii="Arial" w:hAnsi="Arial" w:cs="Arial"/>
        </w:rPr>
        <w:t xml:space="preserve"> (</w:t>
      </w:r>
      <w:r w:rsidRPr="007D0C5D">
        <w:rPr>
          <w:rFonts w:ascii="Arial" w:hAnsi="Arial" w:cs="Arial"/>
          <w:i/>
        </w:rPr>
        <w:t>jeux de dégel</w:t>
      </w:r>
      <w:r w:rsidRPr="007D0C5D">
        <w:rPr>
          <w:rFonts w:ascii="Arial" w:hAnsi="Arial" w:cs="Arial"/>
        </w:rPr>
        <w:t xml:space="preserve">, </w:t>
      </w:r>
      <w:r w:rsidRPr="007D0C5D">
        <w:rPr>
          <w:rFonts w:ascii="Arial" w:hAnsi="Arial" w:cs="Arial"/>
          <w:i/>
        </w:rPr>
        <w:t>jeux de contact</w:t>
      </w:r>
      <w:r w:rsidRPr="007D0C5D">
        <w:rPr>
          <w:rFonts w:ascii="Arial" w:hAnsi="Arial" w:cs="Arial"/>
        </w:rPr>
        <w:t xml:space="preserve">, </w:t>
      </w:r>
      <w:r w:rsidRPr="007D0C5D">
        <w:rPr>
          <w:rFonts w:ascii="Arial" w:hAnsi="Arial" w:cs="Arial"/>
          <w:i/>
        </w:rPr>
        <w:t xml:space="preserve">jeux à thèmes, jeux de ‘‘sculpture’’, jeux de créativité…) </w:t>
      </w:r>
    </w:p>
    <w:p w:rsidR="00E81080" w:rsidRPr="007D0C5D" w:rsidRDefault="00E81080" w:rsidP="00E81080">
      <w:pPr>
        <w:spacing w:before="120"/>
        <w:ind w:left="426" w:hanging="426"/>
        <w:rPr>
          <w:rFonts w:ascii="Arial" w:hAnsi="Arial" w:cs="Arial"/>
          <w:i/>
        </w:rPr>
      </w:pPr>
      <w:r w:rsidRPr="007D0C5D">
        <w:rPr>
          <w:rFonts w:ascii="Arial" w:hAnsi="Arial" w:cs="Arial"/>
        </w:rPr>
        <w:t xml:space="preserve">2 – Les </w:t>
      </w:r>
      <w:r w:rsidRPr="00E55CA9">
        <w:rPr>
          <w:rFonts w:ascii="Arial" w:hAnsi="Arial" w:cs="Arial"/>
          <w:b/>
        </w:rPr>
        <w:t>activités éducatives</w:t>
      </w:r>
      <w:r w:rsidRPr="007D0C5D">
        <w:rPr>
          <w:rFonts w:ascii="Arial" w:hAnsi="Arial" w:cs="Arial"/>
        </w:rPr>
        <w:t xml:space="preserve"> : exploration de thèmes précis, en individuel, en sous-groupes ou collectivement en brainstorming. En ce compris l’apprentissage du ‘message clair’, le ceintures de comportement, les ‘métiers’, le tutorat et bien d’autres. </w:t>
      </w:r>
    </w:p>
    <w:p w:rsidR="00E81080" w:rsidRPr="007D0C5D" w:rsidRDefault="00E81080" w:rsidP="00E81080">
      <w:pPr>
        <w:spacing w:before="120"/>
        <w:ind w:left="426" w:hanging="426"/>
        <w:rPr>
          <w:rFonts w:ascii="Arial" w:hAnsi="Arial" w:cs="Arial"/>
          <w:i/>
        </w:rPr>
      </w:pPr>
      <w:r w:rsidRPr="007D0C5D">
        <w:rPr>
          <w:rFonts w:ascii="Arial" w:hAnsi="Arial" w:cs="Arial"/>
        </w:rPr>
        <w:t xml:space="preserve">3 – Le </w:t>
      </w:r>
      <w:r w:rsidRPr="00E55CA9">
        <w:rPr>
          <w:rFonts w:ascii="Arial" w:hAnsi="Arial" w:cs="Arial"/>
          <w:b/>
        </w:rPr>
        <w:t>cercle de parole</w:t>
      </w:r>
      <w:r w:rsidRPr="007D0C5D">
        <w:rPr>
          <w:rFonts w:ascii="Arial" w:hAnsi="Arial" w:cs="Arial"/>
        </w:rPr>
        <w:t>, qui requiert l’application de règles précises. En ce compris les Conseils de coopération, Conseils de classe, etc.</w:t>
      </w:r>
    </w:p>
    <w:p w:rsidR="00E81080" w:rsidRPr="007D0C5D" w:rsidRDefault="00E81080" w:rsidP="00E81080">
      <w:pPr>
        <w:spacing w:before="120"/>
        <w:ind w:left="426" w:hanging="426"/>
        <w:rPr>
          <w:rFonts w:ascii="Arial" w:hAnsi="Arial" w:cs="Arial"/>
        </w:rPr>
      </w:pPr>
      <w:r w:rsidRPr="007D0C5D">
        <w:rPr>
          <w:rFonts w:ascii="Arial" w:hAnsi="Arial" w:cs="Arial"/>
        </w:rPr>
        <w:t xml:space="preserve">4 – </w:t>
      </w:r>
      <w:r w:rsidRPr="00E55CA9">
        <w:rPr>
          <w:rFonts w:ascii="Arial" w:hAnsi="Arial" w:cs="Arial"/>
          <w:b/>
        </w:rPr>
        <w:t>Jeux de rôles</w:t>
      </w:r>
      <w:r w:rsidRPr="007D0C5D">
        <w:rPr>
          <w:rFonts w:ascii="Arial" w:hAnsi="Arial" w:cs="Arial"/>
        </w:rPr>
        <w:t xml:space="preserve"> et </w:t>
      </w:r>
      <w:r w:rsidRPr="00E55CA9">
        <w:rPr>
          <w:rFonts w:ascii="Arial" w:hAnsi="Arial" w:cs="Arial"/>
          <w:b/>
        </w:rPr>
        <w:t>improvisations créatives</w:t>
      </w:r>
      <w:r w:rsidRPr="007D0C5D">
        <w:rPr>
          <w:rFonts w:ascii="Arial" w:hAnsi="Arial" w:cs="Arial"/>
        </w:rPr>
        <w:t xml:space="preserve"> : reconstitutions de scènes vécues ou imaginaires, mises en situation destinées à donner l’occasion de libérer la créativité, d’explorer différentes perspectives et de découvrir des ressources intérieures nouvelles. </w:t>
      </w:r>
    </w:p>
    <w:p w:rsidR="00E81080" w:rsidRPr="007D0C5D" w:rsidRDefault="00E81080" w:rsidP="00E81080">
      <w:pPr>
        <w:spacing w:before="120"/>
        <w:ind w:left="426" w:hanging="426"/>
        <w:rPr>
          <w:rFonts w:ascii="Arial" w:hAnsi="Arial" w:cs="Arial"/>
          <w:i/>
        </w:rPr>
      </w:pPr>
      <w:r w:rsidRPr="007D0C5D">
        <w:rPr>
          <w:rFonts w:ascii="Arial" w:hAnsi="Arial" w:cs="Arial"/>
        </w:rPr>
        <w:lastRenderedPageBreak/>
        <w:t xml:space="preserve">5 – </w:t>
      </w:r>
      <w:r w:rsidRPr="00E55CA9">
        <w:rPr>
          <w:rFonts w:ascii="Arial" w:hAnsi="Arial" w:cs="Arial"/>
          <w:b/>
        </w:rPr>
        <w:t>Voix, théâtre, danse, musique</w:t>
      </w:r>
      <w:r w:rsidRPr="007D0C5D">
        <w:rPr>
          <w:rFonts w:ascii="Arial" w:hAnsi="Arial" w:cs="Arial"/>
        </w:rPr>
        <w:t xml:space="preserve">, en mode improvisé et collectif, afin d’aller au-delà des modes habituels d’expression de soi, d’explorer différentes facettes d’identité, différents modes relationnels. </w:t>
      </w:r>
    </w:p>
    <w:p w:rsidR="00E81080" w:rsidRPr="007D0C5D" w:rsidRDefault="00E81080" w:rsidP="00E81080">
      <w:pPr>
        <w:spacing w:before="120"/>
        <w:ind w:left="426" w:hanging="426"/>
        <w:rPr>
          <w:rFonts w:ascii="Arial" w:hAnsi="Arial" w:cs="Arial"/>
        </w:rPr>
      </w:pPr>
      <w:r w:rsidRPr="007D0C5D">
        <w:rPr>
          <w:rFonts w:ascii="Arial" w:hAnsi="Arial" w:cs="Arial"/>
        </w:rPr>
        <w:t xml:space="preserve">6 – Le </w:t>
      </w:r>
      <w:r w:rsidRPr="00E55CA9">
        <w:rPr>
          <w:rFonts w:ascii="Arial" w:hAnsi="Arial" w:cs="Arial"/>
          <w:b/>
        </w:rPr>
        <w:t>travail intérieur</w:t>
      </w:r>
      <w:r w:rsidRPr="007D0C5D">
        <w:rPr>
          <w:rFonts w:ascii="Arial" w:hAnsi="Arial" w:cs="Arial"/>
        </w:rPr>
        <w:t xml:space="preserve"> : respiration, relaxation, visualisation créative, pleine conscience, méditation... </w:t>
      </w:r>
    </w:p>
    <w:p w:rsidR="00E81080" w:rsidRPr="007D0C5D" w:rsidRDefault="00E81080" w:rsidP="00E81080">
      <w:pPr>
        <w:ind w:left="426" w:hanging="426"/>
        <w:rPr>
          <w:rFonts w:ascii="Arial" w:hAnsi="Arial" w:cs="Arial"/>
        </w:rPr>
      </w:pPr>
      <w:r w:rsidRPr="007D0C5D">
        <w:rPr>
          <w:rFonts w:ascii="Arial" w:hAnsi="Arial" w:cs="Arial"/>
        </w:rPr>
        <w:t xml:space="preserve">7 – Les </w:t>
      </w:r>
      <w:r w:rsidRPr="00E55CA9">
        <w:rPr>
          <w:rFonts w:ascii="Arial" w:hAnsi="Arial" w:cs="Arial"/>
          <w:b/>
        </w:rPr>
        <w:t xml:space="preserve">contes </w:t>
      </w:r>
      <w:r w:rsidRPr="007D0C5D">
        <w:rPr>
          <w:rFonts w:ascii="Arial" w:hAnsi="Arial" w:cs="Arial"/>
        </w:rPr>
        <w:t>: lecture de récits à valeur métaphorique, dans lesquels l’enfant peut se projeter, avec ensuite la possibilité d’inviter à explorer des questions, à faire un jeu de rôles, un partage ou de l’expression artistique...</w:t>
      </w:r>
    </w:p>
    <w:p w:rsidR="00E81080" w:rsidRPr="007D0C5D" w:rsidRDefault="00E81080" w:rsidP="00E81080">
      <w:pPr>
        <w:ind w:left="426" w:hanging="426"/>
        <w:rPr>
          <w:rFonts w:ascii="Arial" w:hAnsi="Arial" w:cs="Arial"/>
        </w:rPr>
      </w:pPr>
      <w:r w:rsidRPr="007D0C5D">
        <w:rPr>
          <w:rFonts w:ascii="Arial" w:hAnsi="Arial" w:cs="Arial"/>
        </w:rPr>
        <w:t xml:space="preserve">8 – Les </w:t>
      </w:r>
      <w:r w:rsidRPr="00E55CA9">
        <w:rPr>
          <w:rFonts w:ascii="Arial" w:hAnsi="Arial" w:cs="Arial"/>
          <w:b/>
        </w:rPr>
        <w:t xml:space="preserve">activités artistiques </w:t>
      </w:r>
      <w:r w:rsidRPr="007D0C5D">
        <w:rPr>
          <w:rFonts w:ascii="Arial" w:hAnsi="Arial" w:cs="Arial"/>
        </w:rPr>
        <w:t xml:space="preserve">libérant l’expression de soi : dessin, peinture, sculpture, collage, musique (particulièrement en groupe). </w:t>
      </w:r>
    </w:p>
    <w:p w:rsidR="00E81080" w:rsidRPr="007D0C5D" w:rsidRDefault="00E81080" w:rsidP="00E81080">
      <w:pPr>
        <w:spacing w:before="120"/>
        <w:ind w:left="426" w:hanging="426"/>
        <w:rPr>
          <w:rFonts w:ascii="Arial" w:hAnsi="Arial" w:cs="Arial"/>
          <w:i/>
        </w:rPr>
      </w:pPr>
      <w:r w:rsidRPr="007D0C5D">
        <w:rPr>
          <w:rFonts w:ascii="Arial" w:hAnsi="Arial" w:cs="Arial"/>
        </w:rPr>
        <w:t>9 –</w:t>
      </w:r>
      <w:r w:rsidRPr="007D0C5D">
        <w:rPr>
          <w:rFonts w:ascii="Arial" w:hAnsi="Arial" w:cs="Arial"/>
          <w:sz w:val="44"/>
        </w:rPr>
        <w:t xml:space="preserve"> </w:t>
      </w:r>
      <w:r w:rsidRPr="007D0C5D">
        <w:rPr>
          <w:rFonts w:ascii="Arial" w:hAnsi="Arial" w:cs="Arial"/>
        </w:rPr>
        <w:t xml:space="preserve">Le </w:t>
      </w:r>
      <w:r w:rsidRPr="00E55CA9">
        <w:rPr>
          <w:rFonts w:ascii="Arial" w:hAnsi="Arial" w:cs="Arial"/>
          <w:b/>
        </w:rPr>
        <w:t>travail en équipe</w:t>
      </w:r>
      <w:r w:rsidRPr="007D0C5D">
        <w:rPr>
          <w:rFonts w:ascii="Arial" w:hAnsi="Arial" w:cs="Arial"/>
        </w:rPr>
        <w:t xml:space="preserve">, la dynamique de groupe, pour développer la confiance réciproque, le rapport à l’autre et la coopération. </w:t>
      </w:r>
    </w:p>
    <w:p w:rsidR="00E81080" w:rsidRPr="007D0C5D" w:rsidRDefault="00E81080" w:rsidP="00E81080">
      <w:pPr>
        <w:spacing w:before="120"/>
        <w:ind w:left="426" w:hanging="426"/>
        <w:rPr>
          <w:rFonts w:ascii="Arial" w:hAnsi="Arial" w:cs="Arial"/>
        </w:rPr>
      </w:pPr>
      <w:r w:rsidRPr="007D0C5D">
        <w:rPr>
          <w:rFonts w:ascii="Arial" w:hAnsi="Arial" w:cs="Arial"/>
        </w:rPr>
        <w:t xml:space="preserve">10 – Le </w:t>
      </w:r>
      <w:r w:rsidRPr="00E55CA9">
        <w:rPr>
          <w:rFonts w:ascii="Arial" w:hAnsi="Arial" w:cs="Arial"/>
          <w:b/>
        </w:rPr>
        <w:t>travail corporel</w:t>
      </w:r>
      <w:r w:rsidRPr="007D0C5D">
        <w:rPr>
          <w:rFonts w:ascii="Arial" w:hAnsi="Arial" w:cs="Arial"/>
        </w:rPr>
        <w:t xml:space="preserve">, pour un meilleur ancrage, développer la conscience du corps : marches, danses, mouvements, étirements, yoga, qi-gong, aïkido, arts martiaux divers, massages ou automassages… </w:t>
      </w:r>
    </w:p>
    <w:p w:rsidR="00E81080" w:rsidRPr="007D0C5D" w:rsidRDefault="00E81080" w:rsidP="00E81080">
      <w:pPr>
        <w:spacing w:before="120"/>
        <w:ind w:left="426" w:hanging="426"/>
        <w:rPr>
          <w:rFonts w:ascii="Arial" w:hAnsi="Arial" w:cs="Arial"/>
        </w:rPr>
      </w:pPr>
      <w:r w:rsidRPr="007D0C5D">
        <w:rPr>
          <w:rFonts w:ascii="Arial" w:hAnsi="Arial" w:cs="Arial"/>
        </w:rPr>
        <w:t>11 – L’</w:t>
      </w:r>
      <w:r w:rsidRPr="00E55CA9">
        <w:rPr>
          <w:rFonts w:ascii="Arial" w:hAnsi="Arial" w:cs="Arial"/>
          <w:b/>
        </w:rPr>
        <w:t xml:space="preserve">écriture </w:t>
      </w:r>
      <w:r w:rsidRPr="007D0C5D">
        <w:rPr>
          <w:rFonts w:ascii="Arial" w:hAnsi="Arial" w:cs="Arial"/>
        </w:rPr>
        <w:t xml:space="preserve">: exploration par écrit d’expériences vécues, d’émotions, de réflexions, de prise de conscience, d’inspiration… (Voir les livrets </w:t>
      </w:r>
      <w:r w:rsidRPr="007D0C5D">
        <w:rPr>
          <w:rFonts w:ascii="Arial" w:hAnsi="Arial" w:cs="Arial"/>
          <w:i/>
        </w:rPr>
        <w:t>« Mon journal de bord CPS »</w:t>
      </w:r>
      <w:r w:rsidRPr="007D0C5D">
        <w:rPr>
          <w:rFonts w:ascii="Arial" w:hAnsi="Arial" w:cs="Arial"/>
        </w:rPr>
        <w:t>, niveau 1 et 2)</w:t>
      </w:r>
    </w:p>
    <w:p w:rsidR="00E81080" w:rsidRPr="007D0C5D" w:rsidRDefault="00E81080" w:rsidP="00E81080">
      <w:pPr>
        <w:spacing w:before="120" w:after="240"/>
        <w:ind w:left="426" w:hanging="426"/>
        <w:rPr>
          <w:rFonts w:ascii="Arial" w:hAnsi="Arial" w:cs="Arial"/>
        </w:rPr>
      </w:pPr>
      <w:r w:rsidRPr="007D0C5D">
        <w:rPr>
          <w:rFonts w:ascii="Arial" w:hAnsi="Arial" w:cs="Arial"/>
        </w:rPr>
        <w:t xml:space="preserve">12 – Les </w:t>
      </w:r>
      <w:r w:rsidRPr="00E55CA9">
        <w:rPr>
          <w:rFonts w:ascii="Arial" w:hAnsi="Arial" w:cs="Arial"/>
          <w:b/>
        </w:rPr>
        <w:t>activités en extérieur</w:t>
      </w:r>
      <w:r w:rsidRPr="007D0C5D">
        <w:rPr>
          <w:rFonts w:ascii="Arial" w:hAnsi="Arial" w:cs="Arial"/>
        </w:rPr>
        <w:t xml:space="preserve"> : changer d’environnement afin de faciliter l’exploration de réalités, ressentis, ressources et attitudes différentes peut s’avérer également très enrichissant, voire indispensable. On combinera de préférence ces sorties avec des activités </w:t>
      </w:r>
      <w:r w:rsidRPr="007D0C5D">
        <w:rPr>
          <w:rFonts w:ascii="Arial" w:hAnsi="Arial" w:cs="Arial"/>
          <w:bCs/>
          <w:szCs w:val="27"/>
        </w:rPr>
        <w:t>non compétitives en équipe.</w:t>
      </w:r>
    </w:p>
    <w:p w:rsidR="00E81080" w:rsidRPr="007D0C5D" w:rsidRDefault="00E81080" w:rsidP="00E81080">
      <w:pPr>
        <w:rPr>
          <w:rFonts w:ascii="Arial" w:hAnsi="Arial" w:cs="Arial"/>
        </w:rPr>
      </w:pPr>
      <w:r w:rsidRPr="007D0C5D">
        <w:rPr>
          <w:rFonts w:ascii="Arial" w:hAnsi="Arial" w:cs="Arial"/>
        </w:rPr>
        <w:t xml:space="preserve">Tous ces ‘‘outils’’ auront comme particularité commune qu’ils nécessitent un temps de partage, une mise en commun des ressentis, des observations et des apprentissages pour être pleinement bénéfiques en termes d’apprentissages psychosociaux. </w:t>
      </w:r>
    </w:p>
    <w:p w:rsidR="003474BB" w:rsidRDefault="003474BB"/>
    <w:p w:rsidR="00E81080" w:rsidRPr="00E81080" w:rsidRDefault="00E81080">
      <w:pPr>
        <w:rPr>
          <w:sz w:val="32"/>
        </w:rPr>
      </w:pPr>
      <w:r w:rsidRPr="00E81080">
        <w:rPr>
          <w:sz w:val="32"/>
        </w:rPr>
        <w:t>(Michel Claeys, extrait de « Enseignants CPS », livret 1)</w:t>
      </w:r>
    </w:p>
    <w:sectPr w:rsidR="00E81080" w:rsidRPr="00E81080"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80"/>
    <w:rsid w:val="00072AEF"/>
    <w:rsid w:val="0029270A"/>
    <w:rsid w:val="003474BB"/>
    <w:rsid w:val="008813D2"/>
    <w:rsid w:val="00A31DB0"/>
    <w:rsid w:val="00DF581C"/>
    <w:rsid w:val="00E74BCA"/>
    <w:rsid w:val="00E8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0831"/>
  <w15:chartTrackingRefBased/>
  <w15:docId w15:val="{0574EC3E-1C9A-4B21-B3FD-DB1F9D4E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2020-10-15T07:43:00Z</dcterms:created>
  <dcterms:modified xsi:type="dcterms:W3CDTF">2020-10-15T07:54:00Z</dcterms:modified>
</cp:coreProperties>
</file>